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证券代码：</w:t>
      </w:r>
      <w:sdt>
        <w:sdtPr>
          <w:rPr>
            <w:rFonts w:hint="eastAsia" w:ascii="Times New Roman" w:hAnsi="Times New Roman" w:eastAsia="宋体" w:cs="Times New Roman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19C722AA1F06413AA8EC6BF90E4D8519"/>
          </w:placeholder>
        </w:sdtPr>
        <w:sdtEndPr>
          <w:rPr>
            <w:rFonts w:hint="eastAsia" w:ascii="Times New Roman" w:hAnsi="Times New Roman" w:eastAsia="宋体" w:cs="Times New Roman"/>
            <w:sz w:val="24"/>
            <w:szCs w:val="24"/>
          </w:rPr>
        </w:sdtEndPr>
        <w:sdtContent>
          <w:r>
            <w:rPr>
              <w:rFonts w:hint="eastAsia" w:ascii="Times New Roman" w:hAnsi="Times New Roman" w:eastAsia="宋体" w:cs="Times New Roman"/>
              <w:sz w:val="24"/>
              <w:szCs w:val="24"/>
            </w:rPr>
            <w:t>688165</w:t>
          </w:r>
        </w:sdtContent>
      </w:sdt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证券简称：</w:t>
      </w:r>
      <w:sdt>
        <w:sdtPr>
          <w:rPr>
            <w:rFonts w:hint="eastAsia" w:ascii="Times New Roman" w:hAnsi="Times New Roman" w:eastAsia="宋体" w:cs="Times New Roman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19C722AA1F06413AA8EC6BF90E4D8519"/>
          </w:placeholder>
        </w:sdtPr>
        <w:sdtEndPr>
          <w:rPr>
            <w:rFonts w:hint="eastAsia" w:ascii="Times New Roman" w:hAnsi="Times New Roman" w:eastAsia="宋体" w:cs="Times New Roman"/>
            <w:sz w:val="24"/>
            <w:szCs w:val="24"/>
          </w:rPr>
        </w:sdtEndPr>
        <w:sdtContent>
          <w:r>
            <w:rPr>
              <w:rFonts w:hint="eastAsia" w:ascii="Times New Roman" w:hAnsi="Times New Roman" w:eastAsia="宋体" w:cs="Times New Roman"/>
              <w:sz w:val="24"/>
              <w:szCs w:val="24"/>
            </w:rPr>
            <w:t>埃夫特</w:t>
          </w:r>
        </w:sdtContent>
      </w:sdt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公告编号：</w:t>
      </w:r>
      <w:sdt>
        <w:sdtPr>
          <w:rPr>
            <w:rFonts w:hint="eastAsia" w:ascii="Times New Roman" w:hAnsi="Times New Roman" w:eastAsia="宋体" w:cs="Times New Roman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19C722AA1F06413AA8EC6BF90E4D8519"/>
          </w:placeholder>
        </w:sdtPr>
        <w:sdtEndPr>
          <w:rPr>
            <w:rFonts w:hint="eastAsia" w:ascii="Times New Roman" w:hAnsi="Times New Roman" w:eastAsia="宋体" w:cs="Times New Roman"/>
            <w:sz w:val="24"/>
            <w:szCs w:val="24"/>
          </w:rPr>
        </w:sdtEndPr>
        <w:sdtContent>
          <w:r>
            <w:rPr>
              <w:rFonts w:hint="eastAsia" w:ascii="Times New Roman" w:hAnsi="Times New Roman" w:eastAsia="宋体" w:cs="Times New Roman"/>
              <w:sz w:val="24"/>
              <w:szCs w:val="24"/>
            </w:rPr>
            <w:t>202</w:t>
          </w:r>
          <w:r>
            <w:rPr>
              <w:rFonts w:ascii="Times New Roman" w:hAnsi="Times New Roman" w:eastAsia="宋体" w:cs="Times New Roman"/>
              <w:sz w:val="24"/>
              <w:szCs w:val="24"/>
            </w:rPr>
            <w:t>1</w:t>
          </w:r>
          <w:r>
            <w:rPr>
              <w:rFonts w:hint="eastAsia" w:ascii="Times New Roman" w:hAnsi="Times New Roman" w:eastAsia="宋体" w:cs="Times New Roman"/>
              <w:sz w:val="24"/>
              <w:szCs w:val="24"/>
            </w:rPr>
            <w:t>-</w:t>
          </w:r>
        </w:sdtContent>
      </w:sdt>
      <w:r>
        <w:rPr>
          <w:rFonts w:hint="eastAsia" w:ascii="Times New Roman" w:hAnsi="Times New Roman" w:eastAsia="宋体" w:cs="Times New Roman"/>
          <w:sz w:val="24"/>
          <w:szCs w:val="24"/>
        </w:rPr>
        <w:t>006</w:t>
      </w:r>
    </w:p>
    <w:p>
      <w:pPr>
        <w:spacing w:line="520" w:lineRule="exact"/>
        <w:jc w:val="center"/>
        <w:rPr>
          <w:rFonts w:ascii="黑体" w:hAnsi="Arial" w:eastAsia="黑体" w:cs="Arial"/>
          <w:b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黑体" w:hAnsi="Arial" w:eastAsia="黑体" w:cs="Arial"/>
          <w:b/>
          <w:color w:val="FF0000"/>
          <w:sz w:val="36"/>
          <w:szCs w:val="36"/>
        </w:rPr>
        <w:t>埃夫特智能装备股份有限公司</w:t>
      </w:r>
    </w:p>
    <w:p>
      <w:pPr>
        <w:spacing w:line="520" w:lineRule="exact"/>
        <w:jc w:val="center"/>
        <w:rPr>
          <w:rFonts w:ascii="黑体" w:hAnsi="Arial" w:eastAsia="黑体" w:cs="Arial"/>
          <w:b/>
          <w:color w:val="FF0000"/>
          <w:sz w:val="36"/>
          <w:szCs w:val="36"/>
        </w:rPr>
      </w:pPr>
      <w:r>
        <w:rPr>
          <w:rFonts w:hint="eastAsia" w:ascii="黑体" w:hAnsi="Arial" w:eastAsia="黑体" w:cs="Arial"/>
          <w:b/>
          <w:color w:val="FF0000"/>
          <w:sz w:val="36"/>
          <w:szCs w:val="36"/>
        </w:rPr>
        <w:t>2020年年度业绩预亏公告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5412740" cy="601345"/>
                <wp:effectExtent l="4445" t="4445" r="8255" b="19050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0134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rPr>
                                <w:rFonts w:ascii="宋体" w:hAnsi="宋体" w:eastAsia="宋体" w:cs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4"/>
                                <w:szCs w:val="24"/>
                              </w:rPr>
                              <w:t>本公司董事会及全体董事保证公告内容不存在任何虚假记载、误导性陈述或者重大遗漏，并对其内容的真实性、准确性和完整性依法承担法律责任。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7.35pt;width:426.2pt;" filled="f" stroked="t" coordsize="21600,21600" o:gfxdata="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GgvUnVAAAA&#10;BAEAAA8AAAAAAAAAAQAgAAAAIgAAAGRycy9kb3ducmV2LnhtbFBLAQIUABQAAAAIAIdO4kBic0kn&#10;IAIAABMEAAAOAAAAAAAAAAEAIAAAACQBAABkcnMvZTJvRG9jLnhtbFBLBQYAAAAABgAGAFkBAAC2&#10;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360" w:lineRule="auto"/>
                        <w:ind w:firstLine="482" w:firstLineChars="200"/>
                        <w:rPr>
                          <w:rFonts w:ascii="宋体" w:hAnsi="宋体" w:eastAsia="宋体" w:cs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4"/>
                          <w:szCs w:val="24"/>
                        </w:rPr>
                        <w:t>本公司董事会及全体董事保证公告内容不存在任何虚假记载、误导性陈述或者重大遗漏，并对其内容的真实性、准确性和完整性依法承担法律责任。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重要内容提示：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埃夫特智能装备股份有限公司（以下简称“公司”或“埃夫特”）预计2020年年度实现营业收入</w:t>
      </w:r>
      <w:r>
        <w:rPr>
          <w:rFonts w:ascii="Times New Roman" w:hAnsi="Times New Roman" w:eastAsia="宋体" w:cs="Times New Roman"/>
          <w:sz w:val="24"/>
          <w:szCs w:val="24"/>
        </w:rPr>
        <w:t>10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万元到1</w:t>
      </w:r>
      <w:r>
        <w:rPr>
          <w:rFonts w:ascii="Times New Roman" w:hAnsi="Times New Roman" w:eastAsia="宋体" w:cs="Times New Roman"/>
          <w:sz w:val="24"/>
          <w:szCs w:val="24"/>
        </w:rPr>
        <w:t>21,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万元，与上年同期相比将减少5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79.76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万元到18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79.76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万元，同比减少4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%到14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81%。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公司预计2020年年度实现归属于母公司所有者的净利润-</w:t>
      </w:r>
      <w:r>
        <w:rPr>
          <w:rFonts w:ascii="Times New Roman" w:hAnsi="Times New Roman" w:eastAsia="宋体" w:cs="Times New Roman"/>
          <w:sz w:val="24"/>
          <w:szCs w:val="24"/>
        </w:rPr>
        <w:t>16,000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万元到-</w:t>
      </w:r>
      <w:r>
        <w:rPr>
          <w:rFonts w:ascii="Times New Roman" w:hAnsi="Times New Roman" w:eastAsia="宋体" w:cs="Times New Roman"/>
          <w:sz w:val="24"/>
          <w:szCs w:val="24"/>
        </w:rPr>
        <w:t>19,000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万元，与上年同期相比将减少</w:t>
      </w:r>
      <w:r>
        <w:rPr>
          <w:rFonts w:ascii="Times New Roman" w:hAnsi="Times New Roman" w:eastAsia="宋体" w:cs="Times New Roman"/>
          <w:sz w:val="24"/>
          <w:szCs w:val="24"/>
        </w:rPr>
        <w:t>11,731.72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</w:t>
      </w:r>
      <w:r>
        <w:rPr>
          <w:rFonts w:ascii="Times New Roman" w:hAnsi="Times New Roman" w:eastAsia="宋体" w:cs="Times New Roman"/>
          <w:sz w:val="24"/>
          <w:szCs w:val="24"/>
        </w:rPr>
        <w:t>14,731.72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万元，亏损同比增加274.86%到345.14%。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公司预计2020年年度归属于母公司所有者的扣除非经常性损益后的净利润-</w:t>
      </w:r>
      <w:r>
        <w:rPr>
          <w:rFonts w:ascii="Times New Roman" w:hAnsi="Times New Roman" w:eastAsia="宋体" w:cs="Times New Roman"/>
          <w:sz w:val="24"/>
          <w:szCs w:val="24"/>
        </w:rPr>
        <w:t>23,800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万元到-</w:t>
      </w:r>
      <w:r>
        <w:rPr>
          <w:rFonts w:ascii="Times New Roman" w:hAnsi="Times New Roman" w:eastAsia="宋体" w:cs="Times New Roman"/>
          <w:sz w:val="24"/>
          <w:szCs w:val="24"/>
        </w:rPr>
        <w:t>28,500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万元，与上年同期相比将减少</w:t>
      </w:r>
      <w:r>
        <w:rPr>
          <w:rFonts w:ascii="Times New Roman" w:hAnsi="Times New Roman" w:eastAsia="宋体" w:cs="Times New Roman"/>
          <w:sz w:val="24"/>
          <w:szCs w:val="24"/>
        </w:rPr>
        <w:t>12,397.20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万元到</w:t>
      </w:r>
      <w:r>
        <w:rPr>
          <w:rFonts w:ascii="Times New Roman" w:hAnsi="Times New Roman" w:eastAsia="宋体" w:cs="Times New Roman"/>
          <w:sz w:val="24"/>
          <w:szCs w:val="24"/>
        </w:rPr>
        <w:t>17,097.20</w:t>
      </w:r>
      <w:r>
        <w:rPr>
          <w:rFonts w:hint="eastAsia" w:ascii="Times New Roman" w:hAnsi="Times New Roman" w:eastAsia="宋体" w:cs="Times New Roman"/>
          <w:sz w:val="24"/>
          <w:szCs w:val="24"/>
        </w:rPr>
        <w:t>万元，亏损同比增加108.72%到149.94%。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一、本期业绩预告情况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（一）业绩预告期间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日至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31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业绩预告情况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经财务部门初步测算，预计</w:t>
      </w:r>
      <w:r>
        <w:rPr>
          <w:rFonts w:hint="default" w:ascii="Times New Roman" w:hAnsi="Times New Roman" w:eastAsia="宋体" w:cs="Times New Roman"/>
          <w:sz w:val="24"/>
          <w:szCs w:val="24"/>
        </w:rPr>
        <w:t>2020</w:t>
      </w:r>
      <w:r>
        <w:rPr>
          <w:rFonts w:hint="default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年度实现营业收入</w:t>
      </w:r>
      <w:r>
        <w:rPr>
          <w:rFonts w:ascii="Times New Roman" w:hAnsi="Times New Roman" w:eastAsia="宋体" w:cs="Times New Roman"/>
          <w:sz w:val="24"/>
          <w:szCs w:val="24"/>
        </w:rPr>
        <w:t>10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21,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万元，</w:t>
      </w:r>
      <w:r>
        <w:rPr>
          <w:rFonts w:hint="eastAsia" w:ascii="Times New Roman" w:hAnsi="Times New Roman" w:eastAsia="宋体" w:cs="Times New Roman"/>
          <w:sz w:val="24"/>
          <w:szCs w:val="24"/>
        </w:rPr>
        <w:t>与上年同期相比</w:t>
      </w:r>
      <w:r>
        <w:rPr>
          <w:rFonts w:hint="eastAsia" w:ascii="宋体" w:hAnsi="宋体" w:eastAsia="宋体"/>
          <w:sz w:val="24"/>
          <w:szCs w:val="24"/>
        </w:rPr>
        <w:t>将减少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79.76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hint="eastAsia" w:ascii="Times New Roman" w:hAnsi="Times New Roman" w:eastAsia="宋体" w:cs="Times New Roman"/>
          <w:sz w:val="24"/>
          <w:szCs w:val="24"/>
        </w:rPr>
        <w:t>18</w:t>
      </w:r>
      <w:r>
        <w:rPr>
          <w:rFonts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79.76</w:t>
      </w:r>
      <w:r>
        <w:rPr>
          <w:rFonts w:hint="eastAsia" w:ascii="宋体" w:hAnsi="宋体" w:eastAsia="宋体"/>
          <w:sz w:val="24"/>
          <w:szCs w:val="24"/>
        </w:rPr>
        <w:t>万元，同比减少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%到</w:t>
      </w:r>
      <w:r>
        <w:rPr>
          <w:rFonts w:hint="eastAsia" w:ascii="Times New Roman" w:hAnsi="Times New Roman" w:eastAsia="宋体" w:cs="Times New Roman"/>
          <w:sz w:val="24"/>
          <w:szCs w:val="24"/>
        </w:rPr>
        <w:t>14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81</w:t>
      </w:r>
      <w:r>
        <w:rPr>
          <w:rFonts w:hint="eastAsia" w:ascii="宋体" w:hAnsi="宋体" w:eastAsia="宋体"/>
          <w:sz w:val="24"/>
          <w:szCs w:val="24"/>
        </w:rPr>
        <w:t>%。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归属于母公司所有者的净利润与上年同期相比，将出现亏损，实现归属于母公司所有者的净利润</w:t>
      </w:r>
      <w:r>
        <w:rPr>
          <w:rFonts w:hint="eastAsia" w:ascii="Times New Roman" w:hAnsi="Times New Roman" w:eastAsia="宋体" w:cs="Times New Roman"/>
          <w:sz w:val="24"/>
          <w:szCs w:val="24"/>
        </w:rPr>
        <w:t>-</w:t>
      </w:r>
      <w:r>
        <w:rPr>
          <w:rFonts w:ascii="Times New Roman" w:hAnsi="Times New Roman" w:eastAsia="宋体" w:cs="Times New Roman"/>
          <w:sz w:val="24"/>
          <w:szCs w:val="24"/>
        </w:rPr>
        <w:t>16,000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hint="eastAsia" w:ascii="Times New Roman" w:hAnsi="Times New Roman" w:eastAsia="宋体" w:cs="Times New Roman"/>
          <w:sz w:val="24"/>
          <w:szCs w:val="24"/>
        </w:rPr>
        <w:t>-</w:t>
      </w:r>
      <w:r>
        <w:rPr>
          <w:rFonts w:ascii="Times New Roman" w:hAnsi="Times New Roman" w:eastAsia="宋体" w:cs="Times New Roman"/>
          <w:sz w:val="24"/>
          <w:szCs w:val="24"/>
        </w:rPr>
        <w:t>19,000</w:t>
      </w:r>
      <w:r>
        <w:rPr>
          <w:rFonts w:hint="eastAsia" w:ascii="宋体" w:hAnsi="宋体" w:eastAsia="宋体"/>
          <w:sz w:val="24"/>
          <w:szCs w:val="24"/>
        </w:rPr>
        <w:t>万元，</w:t>
      </w:r>
      <w:r>
        <w:rPr>
          <w:rFonts w:hint="eastAsia" w:ascii="Times New Roman" w:hAnsi="Times New Roman" w:eastAsia="宋体" w:cs="Times New Roman"/>
          <w:sz w:val="24"/>
          <w:szCs w:val="24"/>
        </w:rPr>
        <w:t>与上年同期相比</w:t>
      </w:r>
      <w:r>
        <w:rPr>
          <w:rFonts w:hint="eastAsia" w:ascii="宋体" w:hAnsi="宋体" w:eastAsia="宋体"/>
          <w:sz w:val="24"/>
          <w:szCs w:val="24"/>
        </w:rPr>
        <w:t>将减少</w:t>
      </w:r>
      <w:r>
        <w:rPr>
          <w:rFonts w:ascii="Times New Roman" w:hAnsi="Times New Roman" w:eastAsia="宋体" w:cs="Times New Roman"/>
          <w:sz w:val="24"/>
          <w:szCs w:val="24"/>
        </w:rPr>
        <w:t>11,731.72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ascii="Times New Roman" w:hAnsi="Times New Roman" w:eastAsia="宋体" w:cs="Times New Roman"/>
          <w:sz w:val="24"/>
          <w:szCs w:val="24"/>
        </w:rPr>
        <w:t>14,731.72</w:t>
      </w:r>
      <w:r>
        <w:rPr>
          <w:rFonts w:hint="eastAsia" w:ascii="宋体" w:hAnsi="宋体" w:eastAsia="宋体"/>
          <w:sz w:val="24"/>
          <w:szCs w:val="24"/>
        </w:rPr>
        <w:t>万元，亏损同比增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加</w:t>
      </w:r>
      <w:r>
        <w:rPr>
          <w:rFonts w:hint="eastAsia" w:ascii="Times New Roman" w:hAnsi="Times New Roman" w:eastAsia="宋体" w:cs="Times New Roman"/>
          <w:sz w:val="24"/>
          <w:szCs w:val="24"/>
        </w:rPr>
        <w:t>274.86</w:t>
      </w:r>
      <w:r>
        <w:rPr>
          <w:rFonts w:hint="eastAsia" w:ascii="宋体" w:hAnsi="宋体" w:eastAsia="宋体"/>
          <w:sz w:val="24"/>
          <w:szCs w:val="24"/>
        </w:rPr>
        <w:t>%到</w:t>
      </w:r>
      <w:r>
        <w:rPr>
          <w:rFonts w:hint="eastAsia" w:ascii="Times New Roman" w:hAnsi="Times New Roman" w:eastAsia="宋体" w:cs="Times New Roman"/>
          <w:sz w:val="24"/>
          <w:szCs w:val="24"/>
        </w:rPr>
        <w:t>345.14</w:t>
      </w:r>
      <w:r>
        <w:rPr>
          <w:rFonts w:hint="eastAsia" w:ascii="宋体" w:hAnsi="宋体" w:eastAsia="宋体"/>
          <w:sz w:val="24"/>
          <w:szCs w:val="24"/>
        </w:rPr>
        <w:t>%。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归属于母公司所有者的扣除非经常性损益后的净利润</w:t>
      </w:r>
      <w:r>
        <w:rPr>
          <w:rFonts w:hint="eastAsia" w:ascii="Times New Roman" w:hAnsi="Times New Roman" w:eastAsia="宋体" w:cs="Times New Roman"/>
          <w:sz w:val="24"/>
          <w:szCs w:val="24"/>
        </w:rPr>
        <w:t>-</w:t>
      </w:r>
      <w:r>
        <w:rPr>
          <w:rFonts w:ascii="Times New Roman" w:hAnsi="Times New Roman" w:eastAsia="宋体" w:cs="Times New Roman"/>
          <w:sz w:val="24"/>
          <w:szCs w:val="24"/>
        </w:rPr>
        <w:t>23,800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hint="eastAsia" w:ascii="Times New Roman" w:hAnsi="Times New Roman" w:eastAsia="宋体" w:cs="Times New Roman"/>
          <w:sz w:val="24"/>
          <w:szCs w:val="24"/>
        </w:rPr>
        <w:t>-</w:t>
      </w:r>
      <w:r>
        <w:rPr>
          <w:rFonts w:ascii="Times New Roman" w:hAnsi="Times New Roman" w:eastAsia="宋体" w:cs="Times New Roman"/>
          <w:sz w:val="24"/>
          <w:szCs w:val="24"/>
        </w:rPr>
        <w:t>28,500</w:t>
      </w:r>
      <w:r>
        <w:rPr>
          <w:rFonts w:hint="eastAsia" w:ascii="宋体" w:hAnsi="宋体" w:eastAsia="宋体"/>
          <w:sz w:val="24"/>
          <w:szCs w:val="24"/>
        </w:rPr>
        <w:t>万元，</w:t>
      </w:r>
      <w:r>
        <w:rPr>
          <w:rFonts w:hint="eastAsia" w:ascii="Times New Roman" w:hAnsi="Times New Roman" w:eastAsia="宋体" w:cs="Times New Roman"/>
          <w:sz w:val="24"/>
          <w:szCs w:val="24"/>
        </w:rPr>
        <w:t>与上年同期相比</w:t>
      </w:r>
      <w:r>
        <w:rPr>
          <w:rFonts w:hint="eastAsia" w:ascii="宋体" w:hAnsi="宋体" w:eastAsia="宋体"/>
          <w:sz w:val="24"/>
          <w:szCs w:val="24"/>
        </w:rPr>
        <w:t>将减少</w:t>
      </w:r>
      <w:r>
        <w:rPr>
          <w:rFonts w:ascii="Times New Roman" w:hAnsi="Times New Roman" w:eastAsia="宋体" w:cs="Times New Roman"/>
          <w:sz w:val="24"/>
          <w:szCs w:val="24"/>
        </w:rPr>
        <w:t>12,397.20</w:t>
      </w:r>
      <w:r>
        <w:rPr>
          <w:rFonts w:hint="eastAsia" w:ascii="宋体" w:hAnsi="宋体" w:eastAsia="宋体"/>
          <w:sz w:val="24"/>
          <w:szCs w:val="24"/>
        </w:rPr>
        <w:t>万元到</w:t>
      </w:r>
      <w:r>
        <w:rPr>
          <w:rFonts w:ascii="Times New Roman" w:hAnsi="Times New Roman" w:eastAsia="宋体" w:cs="Times New Roman"/>
          <w:sz w:val="24"/>
          <w:szCs w:val="24"/>
        </w:rPr>
        <w:t>17,097.20</w:t>
      </w:r>
      <w:r>
        <w:rPr>
          <w:rFonts w:hint="eastAsia" w:ascii="宋体" w:hAnsi="宋体" w:eastAsia="宋体"/>
          <w:sz w:val="24"/>
          <w:szCs w:val="24"/>
        </w:rPr>
        <w:t>万元，亏损同比增加</w:t>
      </w:r>
      <w:r>
        <w:rPr>
          <w:rFonts w:hint="eastAsia" w:ascii="Times New Roman" w:hAnsi="Times New Roman" w:eastAsia="宋体" w:cs="Times New Roman"/>
          <w:sz w:val="24"/>
          <w:szCs w:val="24"/>
        </w:rPr>
        <w:t>108.72</w:t>
      </w:r>
      <w:r>
        <w:rPr>
          <w:rFonts w:hint="eastAsia" w:ascii="宋体" w:hAnsi="宋体" w:eastAsia="宋体"/>
          <w:sz w:val="24"/>
          <w:szCs w:val="24"/>
        </w:rPr>
        <w:t>%到</w:t>
      </w:r>
      <w:r>
        <w:rPr>
          <w:rFonts w:hint="eastAsia" w:ascii="Times New Roman" w:hAnsi="Times New Roman" w:eastAsia="宋体" w:cs="Times New Roman"/>
          <w:sz w:val="24"/>
          <w:szCs w:val="24"/>
        </w:rPr>
        <w:t>149.94</w:t>
      </w:r>
      <w:r>
        <w:rPr>
          <w:rFonts w:hint="eastAsia" w:ascii="宋体" w:hAnsi="宋体" w:eastAsia="宋体"/>
          <w:sz w:val="24"/>
          <w:szCs w:val="24"/>
        </w:rPr>
        <w:t>%。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本次业绩预告未经注册会计师审计。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二、上年同期业绩情况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公司上年同期归属于母公司所有者的净利润为-4,268.28万元。归属于母公司所有者的扣除非经常性损益的净利润为-11,402.80万元。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本期业绩变化的主要原因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营业收入较上年同期减少，原因如下：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营业收入同比上年减少主要系受疫情导致的客户现场停产影响，以及客户新车型投产计划的延迟，位于意大利、波兰、巴西和印度等海外子公司相继成为疫情重灾区，现场停产影响订单执行，导致境外集成项目执行出现周期性停工和延期，整体产能和工作效率下降，影响全年收入确认；同时固定成本的分摊导致亏损幅度相应加大；</w:t>
      </w:r>
    </w:p>
    <w:p>
      <w:pPr>
        <w:spacing w:line="360" w:lineRule="auto"/>
        <w:ind w:firstLine="42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国内市场尽管受疫情影响，收入仍有一定程度的攀升，机器人整机业务毛利率受益于核心零部件自主化同比上升。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2</w:t>
      </w:r>
      <w:r>
        <w:rPr>
          <w:rFonts w:hint="eastAsia" w:ascii="宋体" w:hAnsi="宋体" w:eastAsia="宋体"/>
          <w:bCs/>
          <w:sz w:val="24"/>
          <w:szCs w:val="24"/>
        </w:rPr>
        <w:t>、期间费用较上年同期增加，原因如下：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为提高公司治理水平，公司于</w:t>
      </w:r>
      <w:r>
        <w:rPr>
          <w:rFonts w:ascii="Times New Roman" w:hAnsi="Times New Roman" w:eastAsia="宋体" w:cs="Times New Roman"/>
          <w:bCs/>
          <w:sz w:val="24"/>
          <w:szCs w:val="24"/>
        </w:rPr>
        <w:t>2020</w:t>
      </w:r>
      <w:r>
        <w:rPr>
          <w:rFonts w:ascii="宋体" w:hAnsi="宋体" w:eastAsia="宋体"/>
          <w:bCs/>
          <w:sz w:val="24"/>
          <w:szCs w:val="24"/>
        </w:rPr>
        <w:t>年持续加强、完善管理</w:t>
      </w:r>
      <w:r>
        <w:rPr>
          <w:rFonts w:hint="eastAsia" w:ascii="宋体" w:hAnsi="宋体" w:eastAsia="宋体"/>
          <w:bCs/>
          <w:sz w:val="24"/>
          <w:szCs w:val="24"/>
        </w:rPr>
        <w:t>团队建设，管理费用较同期上升。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受疫情影响，境内外研发技术人员互访以及技术转化受到一定限制，研发费用金额与上年基本持平，研发费用收入占比提高。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四、风险提示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公司不存在可能影响本次业绩预告内容准确性的重大不确定因素，本次业绩预告未经注册会计师</w:t>
      </w:r>
      <w:r>
        <w:rPr>
          <w:rFonts w:hint="eastAsia" w:ascii="宋体" w:hAnsi="宋体" w:eastAsia="宋体"/>
          <w:sz w:val="24"/>
          <w:szCs w:val="24"/>
        </w:rPr>
        <w:t>审计。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五、其他事项说明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以上预告数据仅为初步核算数据，本次年报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审计</w:t>
      </w:r>
      <w:r>
        <w:rPr>
          <w:rFonts w:hint="eastAsia" w:ascii="宋体" w:hAnsi="宋体" w:eastAsia="宋体"/>
          <w:sz w:val="24"/>
          <w:szCs w:val="24"/>
        </w:rPr>
        <w:t>工作尚未开始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具体准确的财务数据以公司正式披露的经审计后的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hint="eastAsia" w:ascii="宋体" w:hAnsi="宋体" w:eastAsia="宋体"/>
          <w:sz w:val="24"/>
          <w:szCs w:val="24"/>
        </w:rPr>
        <w:t>年年报为准，敬请广大投资者注意投资风险。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theme="majorBidi"/>
          <w:bCs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theme="majorBidi"/>
          <w:bCs/>
          <w:kern w:val="0"/>
          <w:sz w:val="24"/>
          <w:szCs w:val="24"/>
        </w:rPr>
      </w:pPr>
      <w:r>
        <w:rPr>
          <w:rFonts w:ascii="宋体" w:hAnsi="宋体" w:eastAsia="宋体" w:cstheme="majorBidi"/>
          <w:bCs/>
          <w:kern w:val="0"/>
          <w:sz w:val="24"/>
          <w:szCs w:val="24"/>
        </w:rPr>
        <w:t>特此公告。</w:t>
      </w:r>
    </w:p>
    <w:p>
      <w:pPr>
        <w:jc w:val="left"/>
        <w:rPr>
          <w:rFonts w:ascii="宋体" w:hAnsi="宋体" w:eastAsia="宋体" w:cstheme="majorBidi"/>
          <w:bCs/>
          <w:kern w:val="0"/>
          <w:sz w:val="24"/>
          <w:szCs w:val="24"/>
        </w:rPr>
      </w:pPr>
    </w:p>
    <w:p>
      <w:pPr>
        <w:ind w:firstLine="480" w:firstLineChars="200"/>
        <w:jc w:val="left"/>
        <w:rPr>
          <w:rFonts w:ascii="宋体" w:hAnsi="宋体" w:eastAsia="宋体" w:cstheme="majorBidi"/>
          <w:bCs/>
          <w:kern w:val="0"/>
          <w:sz w:val="24"/>
          <w:szCs w:val="24"/>
        </w:rPr>
      </w:pPr>
    </w:p>
    <w:p>
      <w:pPr>
        <w:spacing w:line="360" w:lineRule="auto"/>
        <w:ind w:left="210" w:leftChars="100"/>
        <w:jc w:val="right"/>
        <w:rPr>
          <w:rFonts w:ascii="宋体" w:hAnsi="宋体" w:eastAsia="宋体" w:cstheme="majorBidi"/>
          <w:bCs/>
          <w:kern w:val="0"/>
          <w:sz w:val="24"/>
          <w:szCs w:val="24"/>
        </w:rPr>
      </w:pPr>
      <w:r>
        <w:rPr>
          <w:rFonts w:hint="eastAsia" w:ascii="宋体" w:hAnsi="宋体" w:eastAsia="宋体" w:cstheme="majorBidi"/>
          <w:bCs/>
          <w:kern w:val="0"/>
          <w:sz w:val="24"/>
          <w:szCs w:val="24"/>
        </w:rPr>
        <w:t>埃夫特智能装备股份有限公司</w:t>
      </w:r>
      <w:r>
        <w:rPr>
          <w:rFonts w:ascii="宋体" w:hAnsi="宋体" w:eastAsia="宋体" w:cstheme="majorBidi"/>
          <w:bCs/>
          <w:kern w:val="0"/>
          <w:sz w:val="24"/>
          <w:szCs w:val="24"/>
        </w:rPr>
        <w:t>董事会</w:t>
      </w:r>
    </w:p>
    <w:p>
      <w:pPr>
        <w:spacing w:line="360" w:lineRule="auto"/>
        <w:jc w:val="righ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2021年1月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>30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EC330"/>
    <w:multiLevelType w:val="singleLevel"/>
    <w:tmpl w:val="953EC3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FBFEA2F"/>
    <w:multiLevelType w:val="singleLevel"/>
    <w:tmpl w:val="2FBFEA2F"/>
    <w:lvl w:ilvl="0" w:tentative="0">
      <w:start w:val="1"/>
      <w:numFmt w:val="decimal"/>
      <w:suff w:val="nothing"/>
      <w:lvlText w:val="%1、"/>
      <w:lvlJc w:val="left"/>
      <w:pPr>
        <w:ind w:left="120" w:firstLine="0"/>
      </w:pPr>
      <w:rPr>
        <w:rFonts w:hint="default" w:ascii="Times New Roman" w:hAnsi="Times New Roman" w:cs="Times New Roman"/>
      </w:rPr>
    </w:lvl>
  </w:abstractNum>
  <w:abstractNum w:abstractNumId="2">
    <w:nsid w:val="45E9FF21"/>
    <w:multiLevelType w:val="singleLevel"/>
    <w:tmpl w:val="45E9FF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2B9BF23"/>
    <w:multiLevelType w:val="singleLevel"/>
    <w:tmpl w:val="62B9BF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DA1NLE0MTOyNLZQ0lEKTi0uzszPAykwrAUAhdkIWiwAAAA="/>
  </w:docVars>
  <w:rsids>
    <w:rsidRoot w:val="00940899"/>
    <w:rsid w:val="00057398"/>
    <w:rsid w:val="000A3BE6"/>
    <w:rsid w:val="000E2E8A"/>
    <w:rsid w:val="00107B9F"/>
    <w:rsid w:val="0011698A"/>
    <w:rsid w:val="0019050B"/>
    <w:rsid w:val="001C4C68"/>
    <w:rsid w:val="001E25F6"/>
    <w:rsid w:val="00205EEB"/>
    <w:rsid w:val="00213A3D"/>
    <w:rsid w:val="00224F26"/>
    <w:rsid w:val="0024601F"/>
    <w:rsid w:val="002551C6"/>
    <w:rsid w:val="002C16F6"/>
    <w:rsid w:val="002D445E"/>
    <w:rsid w:val="002D52E9"/>
    <w:rsid w:val="002E0644"/>
    <w:rsid w:val="00352960"/>
    <w:rsid w:val="003E1E4B"/>
    <w:rsid w:val="00402572"/>
    <w:rsid w:val="00407BAE"/>
    <w:rsid w:val="00436488"/>
    <w:rsid w:val="0047300C"/>
    <w:rsid w:val="004D5EDE"/>
    <w:rsid w:val="004E48BD"/>
    <w:rsid w:val="00521E12"/>
    <w:rsid w:val="00577DB5"/>
    <w:rsid w:val="00622E5E"/>
    <w:rsid w:val="00676252"/>
    <w:rsid w:val="006F44C8"/>
    <w:rsid w:val="00731D56"/>
    <w:rsid w:val="00746641"/>
    <w:rsid w:val="00752095"/>
    <w:rsid w:val="007946D6"/>
    <w:rsid w:val="007E21DF"/>
    <w:rsid w:val="0084784D"/>
    <w:rsid w:val="008B4E60"/>
    <w:rsid w:val="008C1F45"/>
    <w:rsid w:val="00932347"/>
    <w:rsid w:val="00940899"/>
    <w:rsid w:val="00985061"/>
    <w:rsid w:val="00995F36"/>
    <w:rsid w:val="00A11413"/>
    <w:rsid w:val="00A12A01"/>
    <w:rsid w:val="00AD12E6"/>
    <w:rsid w:val="00B145D8"/>
    <w:rsid w:val="00B64A7D"/>
    <w:rsid w:val="00B86083"/>
    <w:rsid w:val="00BA4427"/>
    <w:rsid w:val="00BB5EBB"/>
    <w:rsid w:val="00BE7AFF"/>
    <w:rsid w:val="00C31952"/>
    <w:rsid w:val="00C540FC"/>
    <w:rsid w:val="00C617CB"/>
    <w:rsid w:val="00C870F9"/>
    <w:rsid w:val="00CE3229"/>
    <w:rsid w:val="00CF6C3F"/>
    <w:rsid w:val="00DB7392"/>
    <w:rsid w:val="00DD11F6"/>
    <w:rsid w:val="00DF7E23"/>
    <w:rsid w:val="00E828CF"/>
    <w:rsid w:val="00E916C9"/>
    <w:rsid w:val="00EA3E0E"/>
    <w:rsid w:val="00FA6727"/>
    <w:rsid w:val="00FC7024"/>
    <w:rsid w:val="05705A49"/>
    <w:rsid w:val="05AF103B"/>
    <w:rsid w:val="285541AC"/>
    <w:rsid w:val="3F724091"/>
    <w:rsid w:val="41811F69"/>
    <w:rsid w:val="44BA41E5"/>
    <w:rsid w:val="48F12842"/>
    <w:rsid w:val="4B8B4F3E"/>
    <w:rsid w:val="4CB14440"/>
    <w:rsid w:val="5B0351A6"/>
    <w:rsid w:val="621A17B7"/>
    <w:rsid w:val="62CE3FC9"/>
    <w:rsid w:val="63873F1B"/>
    <w:rsid w:val="7A1249F4"/>
    <w:rsid w:val="7BB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fontstyle01"/>
    <w:basedOn w:val="10"/>
    <w:qFormat/>
    <w:uiPriority w:val="0"/>
    <w:rPr>
      <w:rFonts w:hint="default" w:ascii="Calibri" w:hAnsi="Calibri" w:cs="Calibri"/>
      <w:color w:val="000000"/>
      <w:sz w:val="18"/>
      <w:szCs w:val="18"/>
    </w:rPr>
  </w:style>
  <w:style w:type="character" w:customStyle="1" w:styleId="15">
    <w:name w:val="fontstyle11"/>
    <w:basedOn w:val="10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6">
    <w:name w:val="fontstyle31"/>
    <w:basedOn w:val="10"/>
    <w:qFormat/>
    <w:uiPriority w:val="0"/>
    <w:rPr>
      <w:rFonts w:hint="eastAsia" w:ascii="黑体" w:hAnsi="黑体" w:eastAsia="黑体"/>
      <w:color w:val="000000"/>
      <w:sz w:val="36"/>
      <w:szCs w:val="36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styleId="18">
    <w:name w:val="Placeholder Text"/>
    <w:basedOn w:val="10"/>
    <w:semiHidden/>
    <w:qFormat/>
    <w:uiPriority w:val="99"/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9C722AA1F06413AA8EC6BF90E4D851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BF41DB-1684-40FA-9BEA-6BE9E0FA4B1E}"/>
      </w:docPartPr>
      <w:docPartBody>
        <w:p>
          <w:pPr>
            <w:pStyle w:val="5"/>
          </w:pPr>
          <w:r>
            <w:rPr>
              <w:rStyle w:val="4"/>
              <w:rFonts w:hint="eastAsia"/>
              <w:color w:val="333399"/>
              <w:u w:val="single"/>
            </w:rPr>
            <w:t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5"/>
    <w:rsid w:val="00022A5F"/>
    <w:rsid w:val="000B3108"/>
    <w:rsid w:val="001C2C05"/>
    <w:rsid w:val="004A2A8B"/>
    <w:rsid w:val="005B12AA"/>
    <w:rsid w:val="006B5C32"/>
    <w:rsid w:val="00805C1E"/>
    <w:rsid w:val="00842910"/>
    <w:rsid w:val="008D02A5"/>
    <w:rsid w:val="009C4384"/>
    <w:rsid w:val="009D71F5"/>
    <w:rsid w:val="00A37630"/>
    <w:rsid w:val="00B457FC"/>
    <w:rsid w:val="00BA53DC"/>
    <w:rsid w:val="00BC450B"/>
    <w:rsid w:val="00C32458"/>
    <w:rsid w:val="00C61B2D"/>
    <w:rsid w:val="00D3174F"/>
    <w:rsid w:val="00D53C6F"/>
    <w:rsid w:val="00E01C49"/>
    <w:rsid w:val="00E70095"/>
    <w:rsid w:val="00E82847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</w:style>
  <w:style w:type="paragraph" w:customStyle="1" w:styleId="5">
    <w:name w:val="19C722AA1F06413AA8EC6BF90E4D8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</Words>
  <Characters>1235</Characters>
  <Lines>10</Lines>
  <Paragraphs>2</Paragraphs>
  <TotalTime>8</TotalTime>
  <ScaleCrop>false</ScaleCrop>
  <LinksUpToDate>false</LinksUpToDate>
  <CharactersWithSpaces>1449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2021-01-29T08:37:00Z</dcterms:created>
  <dc:creator>JI XIANPING</dc:creator>
  <cp:lastModifiedBy>富强民主</cp:lastModifiedBy>
  <dcterms:modified xsi:type="dcterms:W3CDTF">2021-01-29T08:56:16Z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